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E97C" w14:textId="3E803161" w:rsidR="0077306C" w:rsidRPr="0084263A" w:rsidRDefault="0084263A" w:rsidP="0084263A">
      <w:pPr>
        <w:pStyle w:val="Default"/>
        <w:jc w:val="center"/>
        <w:rPr>
          <w:b/>
          <w:bCs/>
        </w:rPr>
      </w:pPr>
      <w:r w:rsidRPr="0084263A">
        <w:rPr>
          <w:b/>
          <w:bCs/>
        </w:rPr>
        <w:t>ΠΕΡΙΟΔΙΚΟΤΗΤΑ ΜΕΤΡΗΣΕΩΝ ΦΥΣΙΚΟΥ ΑΕΡΙΟΥ</w:t>
      </w:r>
    </w:p>
    <w:p w14:paraId="56F33A1E" w14:textId="77777777" w:rsidR="0084263A" w:rsidRDefault="0084263A" w:rsidP="0077306C">
      <w:pPr>
        <w:pStyle w:val="Default"/>
      </w:pPr>
    </w:p>
    <w:p w14:paraId="54360340" w14:textId="71C6D06E" w:rsidR="0077306C" w:rsidRDefault="0077306C" w:rsidP="007730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</w:t>
      </w:r>
      <w:r w:rsidR="0049272F">
        <w:rPr>
          <w:sz w:val="22"/>
          <w:szCs w:val="22"/>
        </w:rPr>
        <w:t>Δ</w:t>
      </w:r>
      <w:r>
        <w:rPr>
          <w:sz w:val="22"/>
          <w:szCs w:val="22"/>
        </w:rPr>
        <w:t>ΕΔΑ λαμβάνει όλα τα εύλογα μέτρα ώστε η Περίοδος Καταμέτρησης να είναι κατά το δυνατό σταθερή και να καταγράφει σε τακτά χρονικά διαστήματα τις ενδείξεις του μετρητή φυσικού αερίου, σε συμφωνία με τα οριζόμενα στο</w:t>
      </w:r>
      <w:r w:rsidR="00FB2A1E">
        <w:rPr>
          <w:sz w:val="22"/>
          <w:szCs w:val="22"/>
        </w:rPr>
        <w:t xml:space="preserve"> άρθρο 11 του</w:t>
      </w:r>
      <w:r>
        <w:rPr>
          <w:sz w:val="22"/>
          <w:szCs w:val="22"/>
        </w:rPr>
        <w:t xml:space="preserve"> Κανονισμ</w:t>
      </w:r>
      <w:r w:rsidR="00FB2A1E">
        <w:rPr>
          <w:sz w:val="22"/>
          <w:szCs w:val="22"/>
        </w:rPr>
        <w:t>ού</w:t>
      </w:r>
      <w:r>
        <w:rPr>
          <w:sz w:val="22"/>
          <w:szCs w:val="22"/>
        </w:rPr>
        <w:t xml:space="preserve"> Μετρήσεων. </w:t>
      </w:r>
    </w:p>
    <w:p w14:paraId="0C8D966C" w14:textId="77777777" w:rsidR="0077306C" w:rsidRDefault="0077306C" w:rsidP="0077306C">
      <w:pPr>
        <w:pStyle w:val="Default"/>
        <w:jc w:val="both"/>
        <w:rPr>
          <w:sz w:val="22"/>
          <w:szCs w:val="22"/>
        </w:rPr>
      </w:pPr>
    </w:p>
    <w:p w14:paraId="1DEA176D" w14:textId="7E1D55D1" w:rsidR="0077306C" w:rsidRDefault="0077306C" w:rsidP="0077306C">
      <w:pPr>
        <w:jc w:val="both"/>
      </w:pPr>
      <w:r>
        <w:t>Κατά τη διάρκεια του έτους, οι μετρήσεις φυσικού αερίου πραγματοποιούνται με την εξής συχνότητα:</w:t>
      </w:r>
    </w:p>
    <w:p w14:paraId="343FFA6B" w14:textId="77777777" w:rsidR="0049272F" w:rsidRDefault="0049272F" w:rsidP="0077306C">
      <w:pPr>
        <w:jc w:val="both"/>
      </w:pPr>
    </w:p>
    <w:p w14:paraId="78E6AF87" w14:textId="7AB8BF0F" w:rsidR="00F905B9" w:rsidRDefault="0049272F" w:rsidP="0049272F">
      <w:pPr>
        <w:pStyle w:val="ListParagraph"/>
        <w:numPr>
          <w:ilvl w:val="0"/>
          <w:numId w:val="6"/>
        </w:numPr>
        <w:jc w:val="both"/>
      </w:pPr>
      <w:r>
        <w:t>5 φορές, για τα μη Ωρομετρούμενα Σημεία Παράδοσης</w:t>
      </w:r>
      <w:r w:rsidR="00D037E1">
        <w:t xml:space="preserve"> με συμβατικούς μετρητές</w:t>
      </w:r>
      <w:r>
        <w:t xml:space="preserve"> </w:t>
      </w:r>
      <w:r w:rsidR="00D037E1">
        <w:t>και</w:t>
      </w:r>
      <w:r>
        <w:t xml:space="preserve"> χρήση θέρμανσης </w:t>
      </w:r>
      <w:r w:rsidR="00F905B9">
        <w:t>ή/και λοιπές χρήσε</w:t>
      </w:r>
      <w:r w:rsidR="00781F63">
        <w:t>ι</w:t>
      </w:r>
      <w:r w:rsidR="00F905B9">
        <w:t>ς</w:t>
      </w:r>
    </w:p>
    <w:p w14:paraId="40AA723B" w14:textId="31C7CE0C" w:rsidR="0049272F" w:rsidRDefault="0049272F" w:rsidP="00781F63">
      <w:pPr>
        <w:pStyle w:val="ListParagraph"/>
        <w:numPr>
          <w:ilvl w:val="0"/>
          <w:numId w:val="7"/>
        </w:numPr>
        <w:jc w:val="both"/>
      </w:pPr>
      <w:r>
        <w:t xml:space="preserve">μία φορά κάθε δύο μήνες </w:t>
      </w:r>
      <w:r w:rsidR="00F905B9">
        <w:t xml:space="preserve">εκτός των μηνών Ιουλίου και Αυγούστου </w:t>
      </w:r>
    </w:p>
    <w:p w14:paraId="2B63E077" w14:textId="77777777" w:rsidR="00D037E1" w:rsidRDefault="00D037E1" w:rsidP="00D037E1">
      <w:pPr>
        <w:pStyle w:val="ListParagraph"/>
        <w:numPr>
          <w:ilvl w:val="0"/>
          <w:numId w:val="8"/>
        </w:numPr>
        <w:jc w:val="both"/>
      </w:pPr>
      <w:r>
        <w:t xml:space="preserve">12 φορές, για τα Σημεία Παράδοσης με έξυπνους μετρητές και δυνατότητα εξ αποστάσεως Μέτρησης </w:t>
      </w:r>
    </w:p>
    <w:p w14:paraId="31A70DCC" w14:textId="77777777" w:rsidR="00D037E1" w:rsidRDefault="00D037E1" w:rsidP="00D037E1">
      <w:pPr>
        <w:pStyle w:val="ListParagraph"/>
        <w:numPr>
          <w:ilvl w:val="0"/>
          <w:numId w:val="7"/>
        </w:numPr>
        <w:jc w:val="both"/>
      </w:pPr>
      <w:r>
        <w:t>μία φορά κάθε μήνα</w:t>
      </w:r>
    </w:p>
    <w:p w14:paraId="66EEF23B" w14:textId="77777777" w:rsidR="00D037E1" w:rsidRDefault="00D037E1" w:rsidP="00D037E1">
      <w:pPr>
        <w:pStyle w:val="ListParagraph"/>
        <w:numPr>
          <w:ilvl w:val="0"/>
          <w:numId w:val="8"/>
        </w:numPr>
        <w:jc w:val="both"/>
      </w:pPr>
      <w:r>
        <w:t>12 φορές, για τα Ωρομετρούμενα Σημεία Παράδοσης με διορθωτή όγκου (ΡΤΖ)</w:t>
      </w:r>
    </w:p>
    <w:p w14:paraId="77CFBEC9" w14:textId="77777777" w:rsidR="00D037E1" w:rsidRDefault="00D037E1" w:rsidP="00D037E1">
      <w:pPr>
        <w:pStyle w:val="ListParagraph"/>
        <w:numPr>
          <w:ilvl w:val="0"/>
          <w:numId w:val="7"/>
        </w:numPr>
        <w:jc w:val="both"/>
      </w:pPr>
      <w:r w:rsidRPr="00781F63">
        <w:t xml:space="preserve">μία φορά </w:t>
      </w:r>
      <w:r>
        <w:t>κάθε μήνα</w:t>
      </w:r>
    </w:p>
    <w:p w14:paraId="0001E003" w14:textId="77777777" w:rsidR="00D037E1" w:rsidRDefault="00D037E1" w:rsidP="00D037E1">
      <w:pPr>
        <w:jc w:val="both"/>
      </w:pPr>
    </w:p>
    <w:p w14:paraId="0F15F6BE" w14:textId="13F78095" w:rsidR="00D037E1" w:rsidRDefault="00D037E1" w:rsidP="00D037E1">
      <w:pPr>
        <w:jc w:val="both"/>
      </w:pPr>
      <w:r>
        <w:t>Η ΔΕΔΑ ως</w:t>
      </w:r>
      <w:r w:rsidRPr="00D037E1">
        <w:t xml:space="preserve"> Διαχειριστής </w:t>
      </w:r>
      <w:r>
        <w:t xml:space="preserve">Δικτύων Διανομής, </w:t>
      </w:r>
      <w:r w:rsidRPr="00D037E1">
        <w:t xml:space="preserve">διαβιβάζει σε κάθε Χρήστη Διανομής </w:t>
      </w:r>
      <w:r>
        <w:t xml:space="preserve">(Προμηθευτής) </w:t>
      </w:r>
      <w:r w:rsidRPr="00D037E1">
        <w:t xml:space="preserve">Αναφορά Μέτρησης </w:t>
      </w:r>
      <w:r w:rsidR="00FB2A1E" w:rsidRPr="00FB2A1E">
        <w:t>μεταξύ δύο Μετρήσεων για κάθε Περίοδο Καταμέτρησης όπως αυτή ορίζεται στο</w:t>
      </w:r>
      <w:r w:rsidR="00FB2A1E">
        <w:t>ν</w:t>
      </w:r>
      <w:r w:rsidR="00FB2A1E" w:rsidRPr="00FB2A1E">
        <w:t xml:space="preserve"> Κανονισμ</w:t>
      </w:r>
      <w:r w:rsidR="00FB2A1E">
        <w:t>ό</w:t>
      </w:r>
      <w:r w:rsidR="00FB2A1E" w:rsidRPr="00FB2A1E">
        <w:t>, η οποία περιλαμβάνει στοιχεία για κάθε ένα από τα Σημεία Παράδοσης που περιλαμβάνονται στο Μητρώο Τελικών Πελατών του Χρήστη Διανομής</w:t>
      </w:r>
      <w:r w:rsidR="00FB2A1E">
        <w:t xml:space="preserve">. </w:t>
      </w:r>
      <w:r w:rsidR="00FB2A1E" w:rsidRPr="00FB2A1E">
        <w:t>Η Αναφορά Μέτρησης περιλαμβάνει για κάθε Σημείο Παράδοσης, κατ’ ελάχιστον τις ακόλουθες πληροφορίες:</w:t>
      </w:r>
    </w:p>
    <w:p w14:paraId="3DD977FA" w14:textId="2AFB887F" w:rsidR="00D037E1" w:rsidRDefault="00D037E1" w:rsidP="00FB2A1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>
        <w:t>Ηλεκτρονικό Κωδικό Αναγνώρισης του Σημείου Παράδοσης (ΗΚΑΣΠ)</w:t>
      </w:r>
    </w:p>
    <w:p w14:paraId="5ADC915A" w14:textId="0EB02D0F" w:rsidR="00D037E1" w:rsidRDefault="00D037E1" w:rsidP="00FB2A1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>
        <w:t>Περίοδο αναφοράς</w:t>
      </w:r>
    </w:p>
    <w:p w14:paraId="5AC11A3C" w14:textId="17BD3F6A" w:rsidR="00D037E1" w:rsidRDefault="00D037E1" w:rsidP="00FB2A1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>
        <w:t>Προηγούμενη ένδειξη - νέα ένδειξη</w:t>
      </w:r>
    </w:p>
    <w:p w14:paraId="3D186942" w14:textId="173995CE" w:rsidR="00D037E1" w:rsidRDefault="00D037E1" w:rsidP="00FB2A1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Τρόπος καταγραφής της ένδειξης, σύμφωνα με </w:t>
      </w:r>
      <w:r w:rsidR="00FB2A1E">
        <w:t>το</w:t>
      </w:r>
      <w:r>
        <w:t xml:space="preserve"> </w:t>
      </w:r>
      <w:r w:rsidR="00FB2A1E">
        <w:t>ά</w:t>
      </w:r>
      <w:r>
        <w:t>ρθρο 10 του Κανονισμού</w:t>
      </w:r>
    </w:p>
    <w:p w14:paraId="6C8ACD4F" w14:textId="67196754" w:rsidR="00D037E1" w:rsidRDefault="00D037E1" w:rsidP="00FB2A1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>
        <w:t>Τελικά δεδομένα παραδοθείσας ποσότητας μεταξύ δύο Μετρήσεων ή εκτίμηση με βάση το άρθρο 20 του Κανονισμού, σε περίπτωση ανεπιτυχούς προσπάθειας Μέτρησης στο Σημείο Παράδοσης</w:t>
      </w:r>
    </w:p>
    <w:p w14:paraId="23F342B7" w14:textId="549DF7AD" w:rsidR="00D037E1" w:rsidRDefault="00D037E1" w:rsidP="00FB2A1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>
        <w:t>Ημερομηνία/περίοδο της επόμενης προγραμματισμένης Μέτρησης</w:t>
      </w:r>
    </w:p>
    <w:p w14:paraId="0F431097" w14:textId="4B3392D8" w:rsidR="00D037E1" w:rsidRDefault="00D037E1" w:rsidP="00FB2A1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>
        <w:t>Ανωμαλίες/προβλήματα κατά την διαδικασία Μέτρησης</w:t>
      </w:r>
    </w:p>
    <w:p w14:paraId="0E2B2438" w14:textId="37C82887" w:rsidR="00FB2A1E" w:rsidRDefault="00FB2A1E" w:rsidP="00FB2A1E">
      <w:pPr>
        <w:jc w:val="both"/>
      </w:pPr>
      <w:r>
        <w:t xml:space="preserve">Ο Τελικός Πελάτης ενημερώνεται για την </w:t>
      </w:r>
      <w:r w:rsidRPr="00FB2A1E">
        <w:t xml:space="preserve">Ημερομηνία/περίοδο της επόμενης </w:t>
      </w:r>
      <w:r>
        <w:t>πρ</w:t>
      </w:r>
      <w:r w:rsidRPr="00FB2A1E">
        <w:t>ογραμματισμένης Μέτρησης</w:t>
      </w:r>
      <w:r>
        <w:t xml:space="preserve"> μέσω των λογαριασμών φυσικού αερίου που εκδίδονται από τους Χρήστες Διανομής (Προμηθευτές) προς τους Τελικούς Πελάτες</w:t>
      </w:r>
    </w:p>
    <w:sectPr w:rsidR="00FB2A1E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BEED" w14:textId="77777777" w:rsidR="00E479B3" w:rsidRDefault="00E479B3" w:rsidP="00E479B3">
      <w:r>
        <w:separator/>
      </w:r>
    </w:p>
  </w:endnote>
  <w:endnote w:type="continuationSeparator" w:id="0">
    <w:p w14:paraId="2477BEAE" w14:textId="77777777" w:rsidR="00E479B3" w:rsidRDefault="00E479B3" w:rsidP="00E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6953" w14:textId="607A174A" w:rsidR="00E479B3" w:rsidRDefault="00E479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DC4B46" wp14:editId="687AA4EA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02455530" name="Text Box 2" descr="ΕΔΑ ΘΕΣΣΑΛΟΝΙΚΗΣ - ΘΕΣΣΑΛΙΑΣ Α.Ε. | 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45CFF" w14:textId="20808385" w:rsidR="00E479B3" w:rsidRPr="00E479B3" w:rsidRDefault="00E479B3" w:rsidP="00E479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79B3">
                            <w:rPr>
                              <w:rFonts w:eastAsia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ΕΔΑ ΘΕΣΣΑΛΟΝΙΚΗΣ - ΘΕΣΣΑΛΙΑΣ Α.Ε. | 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C4B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ΕΔΑ ΘΕΣΣΑΛΟΝΙΚΗΣ - ΘΕΣΣΑΛΙΑΣ Α.Ε. | ΔΗΜΟΣΙΑΣ ΧΡΗΣΗΣ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55545CFF" w14:textId="20808385" w:rsidR="00E479B3" w:rsidRPr="00E479B3" w:rsidRDefault="00E479B3" w:rsidP="00E479B3">
                    <w:pPr>
                      <w:rPr>
                        <w:rFonts w:eastAsia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479B3">
                      <w:rPr>
                        <w:rFonts w:eastAsia="Calibri"/>
                        <w:noProof/>
                        <w:color w:val="000000"/>
                        <w:sz w:val="16"/>
                        <w:szCs w:val="16"/>
                      </w:rPr>
                      <w:t>ΕΔΑ ΘΕΣΣΑΛΟΝΙΚΗΣ - ΘΕΣΣΑΛΙΑΣ Α.Ε. | 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3B70" w14:textId="0B92AFC3" w:rsidR="00E479B3" w:rsidRDefault="00E479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6D786D" wp14:editId="4A03BBE5">
              <wp:simplePos x="1143000" y="1007364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309205944" name="Text Box 3" descr="ΕΔΑ ΘΕΣΣΑΛΟΝΙΚΗΣ - ΘΕΣΣΑΛΙΑΣ Α.Ε. | 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E2D87" w14:textId="75C570E0" w:rsidR="00E479B3" w:rsidRPr="00E479B3" w:rsidRDefault="00E479B3" w:rsidP="00E479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79B3">
                            <w:rPr>
                              <w:rFonts w:eastAsia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ΕΔΑ ΘΕΣΣΑΛΟΝΙΚΗΣ - ΘΕΣΣΑΛΙΑΣ Α.Ε. | 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D78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ΕΔΑ ΘΕΣΣΑΛΟΝΙΚΗΣ - ΘΕΣΣΑΛΙΑΣ Α.Ε. | ΔΗΜΟΣΙΑΣ ΧΡΗΣΗΣ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591E2D87" w14:textId="75C570E0" w:rsidR="00E479B3" w:rsidRPr="00E479B3" w:rsidRDefault="00E479B3" w:rsidP="00E479B3">
                    <w:pPr>
                      <w:rPr>
                        <w:rFonts w:eastAsia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479B3">
                      <w:rPr>
                        <w:rFonts w:eastAsia="Calibri"/>
                        <w:noProof/>
                        <w:color w:val="000000"/>
                        <w:sz w:val="16"/>
                        <w:szCs w:val="16"/>
                      </w:rPr>
                      <w:t>ΕΔΑ ΘΕΣΣΑΛΟΝΙΚΗΣ - ΘΕΣΣΑΛΙΑΣ Α.Ε. | 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F17A" w14:textId="5C8DD0FE" w:rsidR="00E479B3" w:rsidRDefault="00E479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977FF5" wp14:editId="4A8D79EB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36187434" name="Text Box 1" descr="ΕΔΑ ΘΕΣΣΑΛΟΝΙΚΗΣ - ΘΕΣΣΑΛΙΑΣ Α.Ε. | 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0B5FC" w14:textId="14424A29" w:rsidR="00E479B3" w:rsidRPr="00E479B3" w:rsidRDefault="00E479B3" w:rsidP="00E479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79B3">
                            <w:rPr>
                              <w:rFonts w:eastAsia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ΕΔΑ ΘΕΣΣΑΛΟΝΙΚΗΣ - ΘΕΣΣΑΛΙΑΣ Α.Ε. | 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77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ΕΔΑ ΘΕΣΣΑΛΟΝΙΚΗΣ - ΘΕΣΣΑΛΙΑΣ Α.Ε. | ΔΗΜΟΣΙΑΣ ΧΡΗΣΗΣ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16B0B5FC" w14:textId="14424A29" w:rsidR="00E479B3" w:rsidRPr="00E479B3" w:rsidRDefault="00E479B3" w:rsidP="00E479B3">
                    <w:pPr>
                      <w:rPr>
                        <w:rFonts w:eastAsia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479B3">
                      <w:rPr>
                        <w:rFonts w:eastAsia="Calibri"/>
                        <w:noProof/>
                        <w:color w:val="000000"/>
                        <w:sz w:val="16"/>
                        <w:szCs w:val="16"/>
                      </w:rPr>
                      <w:t>ΕΔΑ ΘΕΣΣΑΛΟΝΙΚΗΣ - ΘΕΣΣΑΛΙΑΣ Α.Ε. | 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6A4F" w14:textId="77777777" w:rsidR="00E479B3" w:rsidRDefault="00E479B3" w:rsidP="00E479B3">
      <w:r>
        <w:separator/>
      </w:r>
    </w:p>
  </w:footnote>
  <w:footnote w:type="continuationSeparator" w:id="0">
    <w:p w14:paraId="75411206" w14:textId="77777777" w:rsidR="00E479B3" w:rsidRDefault="00E479B3" w:rsidP="00E4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AE4"/>
    <w:multiLevelType w:val="hybridMultilevel"/>
    <w:tmpl w:val="D29C59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D95590"/>
    <w:multiLevelType w:val="multilevel"/>
    <w:tmpl w:val="4E1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17AF1"/>
    <w:multiLevelType w:val="hybridMultilevel"/>
    <w:tmpl w:val="46A0E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AE55"/>
    <w:multiLevelType w:val="hybridMultilevel"/>
    <w:tmpl w:val="7000A9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3A430EB"/>
    <w:multiLevelType w:val="multilevel"/>
    <w:tmpl w:val="4E1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342E1"/>
    <w:multiLevelType w:val="hybridMultilevel"/>
    <w:tmpl w:val="89A8946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711B6"/>
    <w:multiLevelType w:val="hybridMultilevel"/>
    <w:tmpl w:val="57FE0EEC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6906475E"/>
    <w:multiLevelType w:val="multilevel"/>
    <w:tmpl w:val="CCF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315113">
    <w:abstractNumId w:val="1"/>
  </w:num>
  <w:num w:numId="2" w16cid:durableId="879560561">
    <w:abstractNumId w:val="6"/>
  </w:num>
  <w:num w:numId="3" w16cid:durableId="433206513">
    <w:abstractNumId w:val="7"/>
  </w:num>
  <w:num w:numId="4" w16cid:durableId="784420359">
    <w:abstractNumId w:val="0"/>
  </w:num>
  <w:num w:numId="5" w16cid:durableId="1447263760">
    <w:abstractNumId w:val="3"/>
  </w:num>
  <w:num w:numId="6" w16cid:durableId="1334182229">
    <w:abstractNumId w:val="4"/>
  </w:num>
  <w:num w:numId="7" w16cid:durableId="776604868">
    <w:abstractNumId w:val="5"/>
  </w:num>
  <w:num w:numId="8" w16cid:durableId="1250777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B5"/>
    <w:rsid w:val="000A5392"/>
    <w:rsid w:val="00162A49"/>
    <w:rsid w:val="001867B5"/>
    <w:rsid w:val="00314932"/>
    <w:rsid w:val="004560E2"/>
    <w:rsid w:val="0049272F"/>
    <w:rsid w:val="00517A7E"/>
    <w:rsid w:val="00684B06"/>
    <w:rsid w:val="0077306C"/>
    <w:rsid w:val="00781F63"/>
    <w:rsid w:val="0084263A"/>
    <w:rsid w:val="00A65BC3"/>
    <w:rsid w:val="00D037E1"/>
    <w:rsid w:val="00E479B3"/>
    <w:rsid w:val="00F905B9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8431"/>
  <w15:chartTrackingRefBased/>
  <w15:docId w15:val="{17E98559-378E-44EA-934D-BE4F71B8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6C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6C"/>
    <w:pPr>
      <w:ind w:left="720"/>
    </w:pPr>
  </w:style>
  <w:style w:type="paragraph" w:customStyle="1" w:styleId="Default">
    <w:name w:val="Default"/>
    <w:rsid w:val="00773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9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B3"/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Zouglou</dc:creator>
  <cp:keywords/>
  <dc:description/>
  <cp:lastModifiedBy>Eleni Zouglou</cp:lastModifiedBy>
  <cp:revision>2</cp:revision>
  <dcterms:created xsi:type="dcterms:W3CDTF">2024-01-20T15:28:00Z</dcterms:created>
  <dcterms:modified xsi:type="dcterms:W3CDTF">2024-01-20T15:28:00Z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25eb732a,598da6ea,4e08e5b8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ΕΔΑ ΘΕΣΣΑΛΟΝΙΚΗΣ - ΘΕΣΣΑΛΙΑΣ Α.Ε. | ΔΗΜΟΣΙΑΣ ΧΡΗΣΗΣ</vt:lpwstr>
  </property>
  <property fmtid="{D5CDD505-2E9C-101B-9397-08002B2CF9AE}" pid="5" name="MSIP_Label_13689429-8270-498e-8341-43f707394b95_Enabled">
    <vt:lpwstr>true</vt:lpwstr>
  </property>
  <property fmtid="{D5CDD505-2E9C-101B-9397-08002B2CF9AE}" pid="6" name="MSIP_Label_13689429-8270-498e-8341-43f707394b95_SetDate">
    <vt:lpwstr>2023-04-12T12:30:45Z</vt:lpwstr>
  </property>
  <property fmtid="{D5CDD505-2E9C-101B-9397-08002B2CF9AE}" pid="7" name="MSIP_Label_13689429-8270-498e-8341-43f707394b95_Method">
    <vt:lpwstr>Privileged</vt:lpwstr>
  </property>
  <property fmtid="{D5CDD505-2E9C-101B-9397-08002B2CF9AE}" pid="8" name="MSIP_Label_13689429-8270-498e-8341-43f707394b95_Name">
    <vt:lpwstr>ΔΗΜΟΣΙΑΣ ΧΡΗΣΗΣ</vt:lpwstr>
  </property>
  <property fmtid="{D5CDD505-2E9C-101B-9397-08002B2CF9AE}" pid="9" name="MSIP_Label_13689429-8270-498e-8341-43f707394b95_SiteId">
    <vt:lpwstr>e7723b76-3b3e-454f-a166-7ea3dd2e24ad</vt:lpwstr>
  </property>
  <property fmtid="{D5CDD505-2E9C-101B-9397-08002B2CF9AE}" pid="10" name="MSIP_Label_13689429-8270-498e-8341-43f707394b95_ActionId">
    <vt:lpwstr>c8076f54-8e8c-4fda-9b0f-c683f2e372d1</vt:lpwstr>
  </property>
  <property fmtid="{D5CDD505-2E9C-101B-9397-08002B2CF9AE}" pid="11" name="MSIP_Label_13689429-8270-498e-8341-43f707394b95_ContentBits">
    <vt:lpwstr>2</vt:lpwstr>
  </property>
</Properties>
</file>